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CORSO DI AGGIORNAMENTO IN MATERIA DI PREVENZIONE INCENDI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(moduli VII e VIII – dicembre 2022)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b/>
          <w:color w:val="FFFFFF"/>
          <w:sz w:val="20"/>
          <w:szCs w:val="20"/>
        </w:rPr>
      </w:pPr>
      <w:r>
        <w:rPr>
          <w:b/>
          <w:color w:val="FFFFFF"/>
          <w:sz w:val="20"/>
          <w:szCs w:val="20"/>
        </w:rPr>
        <w:t>per il mantenimento dell’iscrizione negli elenchi del Ministero dell’Interno</w:t>
      </w:r>
    </w:p>
    <w:p>
      <w:pPr>
        <w:pStyle w:val="Normal"/>
        <w:shd w:val="clear" w:color="auto" w:fill="0070C0"/>
        <w:spacing w:lineRule="auto" w:line="240" w:before="0" w:after="0"/>
        <w:jc w:val="center"/>
        <w:rPr>
          <w:color w:val="FFFFFF"/>
          <w:sz w:val="20"/>
          <w:szCs w:val="20"/>
        </w:rPr>
      </w:pPr>
      <w:r>
        <w:rPr>
          <w:color w:val="FFFFFF"/>
          <w:sz w:val="20"/>
          <w:szCs w:val="20"/>
        </w:rPr>
        <w:t xml:space="preserve">ai sensi del D.M. 5 agosto 2011 </w:t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color w:val="C00000"/>
          <w:sz w:val="20"/>
          <w:szCs w:val="20"/>
        </w:rPr>
      </w:pPr>
      <w:r>
        <w:rPr>
          <w:b/>
          <w:color w:val="C00000"/>
          <w:sz w:val="20"/>
          <w:szCs w:val="20"/>
        </w:rPr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DM 18.10.2019 </w:t>
      </w:r>
    </w:p>
    <w:p>
      <w:pPr>
        <w:pStyle w:val="Normal"/>
        <w:spacing w:lineRule="atLeast" w:line="100" w:before="0" w:after="0"/>
        <w:ind w:left="-142" w:right="-28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METODI DI PROGETTAZIONE DELL’INGEGNERIA DELLA SICUREZZA ANTINCENDIO – CONTROLLO FUMI E CALORE</w:t>
      </w:r>
      <w:bookmarkStart w:id="0" w:name="_GoBack"/>
      <w:bookmarkEnd w:id="0"/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DATA</w:t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LUOGO</w:t>
      </w:r>
    </w:p>
    <w:p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 w:before="0" w:after="0"/>
        <w:ind w:firstLine="70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Test di fine corso per verifica dell’apprendimento </w:t>
      </w:r>
    </w:p>
    <w:p>
      <w:pPr>
        <w:pStyle w:val="Paragrafoelenco1"/>
        <w:spacing w:lineRule="auto" w:line="240" w:before="0" w:after="0"/>
        <w:ind w:left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Nota: 1 sola risposta valida per domanda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4"/>
        <w:gridCol w:w="9128"/>
      </w:tblGrid>
      <w:tr>
        <w:trPr>
          <w:trHeight w:val="60" w:hRule="atLeast"/>
        </w:trPr>
        <w:tc>
          <w:tcPr>
            <w:tcW w:w="61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Times New Roman"/>
                <w:color w:val="auto"/>
                <w:kern w:val="0"/>
                <w:lang w:val="it-IT" w:bidi="ar-SA"/>
              </w:rPr>
            </w:pPr>
            <w:r>
              <w:rPr>
                <w:rFonts w:cs="Times New Roman"/>
                <w:b/>
                <w:bCs/>
                <w:color w:val="auto"/>
                <w:kern w:val="0"/>
                <w:sz w:val="20"/>
                <w:szCs w:val="20"/>
                <w:lang w:val="it-IT" w:bidi="ar-SA"/>
              </w:rPr>
              <w:t>1</w:t>
            </w:r>
          </w:p>
        </w:tc>
        <w:tc>
          <w:tcPr>
            <w:tcW w:w="9128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Times New Roman"/>
                <w:color w:val="auto"/>
                <w:kern w:val="0"/>
                <w:lang w:val="it-IT" w:bidi="ar-SA"/>
              </w:rPr>
            </w:pPr>
            <w:r>
              <w:rPr>
                <w:rFonts w:cs="Times New Roman"/>
                <w:b/>
                <w:bCs/>
                <w:color w:val="auto"/>
                <w:kern w:val="0"/>
                <w:sz w:val="20"/>
                <w:szCs w:val="20"/>
                <w:lang w:val="it-IT" w:bidi="ar-SA"/>
              </w:rPr>
              <w:t xml:space="preserve">La misura antincendio “Controllo di fumi e calore” ha come scopo: 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Times New Roman"/>
                <w:color w:val="auto"/>
                <w:kern w:val="0"/>
                <w:lang w:val="it-IT" w:bidi="ar-SA"/>
              </w:rPr>
            </w:pPr>
            <w:r>
              <w:rPr>
                <w:rFonts w:cs="Times New Roman"/>
                <w:color w:val="auto"/>
                <w:kern w:val="0"/>
                <w:sz w:val="20"/>
                <w:szCs w:val="20"/>
                <w:lang w:val="it-IT" w:bidi="ar-SA"/>
              </w:rPr>
              <w:t>A □ l’aumento delle aperture di aerazione naturale;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Times New Roman"/>
                <w:color w:val="auto"/>
                <w:kern w:val="0"/>
                <w:lang w:val="it-IT" w:bidi="ar-SA"/>
              </w:rPr>
            </w:pPr>
            <w:r>
              <w:rPr>
                <w:rFonts w:cs="Times New Roman"/>
                <w:color w:val="auto"/>
                <w:kern w:val="0"/>
                <w:sz w:val="20"/>
                <w:szCs w:val="20"/>
                <w:lang w:val="it-IT" w:bidi="ar-SA"/>
              </w:rPr>
              <w:t>B □ la riduzione della visibilità in caso di incendio;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cs="Times New Roman"/>
                <w:color w:val="auto"/>
                <w:kern w:val="0"/>
                <w:lang w:val="it-IT" w:bidi="ar-SA"/>
              </w:rPr>
            </w:pPr>
            <w:r>
              <w:rPr>
                <w:rFonts w:cs="Times New Roman"/>
                <w:b w:val="false"/>
                <w:bCs w:val="false"/>
                <w:color w:val="auto"/>
                <w:kern w:val="0"/>
                <w:sz w:val="20"/>
                <w:szCs w:val="20"/>
                <w:lang w:val="it-IT" w:bidi="ar-SA"/>
              </w:rPr>
              <w:t>C</w:t>
            </w:r>
            <w:r>
              <w:rPr>
                <w:rFonts w:cs="Times New Roman"/>
                <w:color w:val="auto"/>
                <w:kern w:val="0"/>
                <w:sz w:val="20"/>
                <w:szCs w:val="20"/>
                <w:lang w:val="it-IT" w:bidi="ar-SA"/>
              </w:rPr>
              <w:t xml:space="preserve"> □ l’individuazione dei presidi antincendio da installare nell’attività per consentire il controllo, l’evacuazione o lo smaltimento dei prodotti della combustione in caso di incendio.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2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Secondo il Codice la misura conforme per garantire la salvaguardia degli occupanti, delle squadre di soccorso e la protezione dei beni se richiesta, dai fumi e dal calore causati dall’incendio: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è la realizzazione di aperture di smaltimento di fumo e calore;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kern w:val="0"/>
                <w:sz w:val="20"/>
                <w:szCs w:val="20"/>
                <w:lang w:val="it-IT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è la installazione di un sistema di evacuazione fumi e calore (naturale o forzato);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è la installazione di uno SVOF.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3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 xml:space="preserve">Le aperture di smaltimento del fumo e del calore 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possono essere posizionate solo in una zona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it-IT" w:eastAsia="en-US" w:bidi="ar-SA"/>
              </w:rPr>
              <w:t>B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devono essere uniformemente distribuite imponendo un raggio di influenza di 20 m o secondo le risultanze della valutazione del rischio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devono essere solo contrapposte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9080"/>
      </w:tblGrid>
      <w:tr>
        <w:trPr/>
        <w:tc>
          <w:tcPr>
            <w:tcW w:w="67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4</w:t>
            </w:r>
          </w:p>
        </w:tc>
        <w:tc>
          <w:tcPr>
            <w:tcW w:w="908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it-IT" w:bidi="ar-SA"/>
              </w:rPr>
              <w:t>Secondo il Codice l</w:t>
            </w: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a superficie utile minima complessiva SE delle aperture di smaltimento di piano è calcolata: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it-IT" w:eastAsia="en-US" w:bidi="ar-SA"/>
              </w:rPr>
              <w:t>A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in funzione del carico di incendio specifico e della superficie lorda del compartimento;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in funzione del carico di incendio specifico di progetto;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in funzione del tipo di combustibile presente e della superficie lorda del compartimento;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9037"/>
      </w:tblGrid>
      <w:tr>
        <w:trPr/>
        <w:tc>
          <w:tcPr>
            <w:tcW w:w="70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5</w:t>
            </w:r>
          </w:p>
        </w:tc>
        <w:tc>
          <w:tcPr>
            <w:tcW w:w="903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 xml:space="preserve">Le soluzioni conformi per il livello III di prestazione del controllo fumo e calore prevedono 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A □ lo smaltimento del fumo e del calore al solo fine di facilitare le operazioni delle squadre di soccorso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la superficie minima di aerazione determinata attraverso i regolamenti edilizi e/o norme igienico sanitarie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it-IT" w:eastAsia="en-US" w:bidi="ar-SA"/>
              </w:rPr>
              <w:t xml:space="preserve">C 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□ un sistema di evacuazioni fumi e calore naturale o forzato progettato, installato e gestito in conformità alle norme UNI 9494 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4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4"/>
        <w:gridCol w:w="9128"/>
      </w:tblGrid>
      <w:tr>
        <w:trPr>
          <w:trHeight w:val="60" w:hRule="atLeast"/>
        </w:trPr>
        <w:tc>
          <w:tcPr>
            <w:tcW w:w="61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6</w:t>
            </w:r>
          </w:p>
        </w:tc>
        <w:tc>
          <w:tcPr>
            <w:tcW w:w="9128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Quando è possibile utilizzare le soluzioni alternative previste dal DM 03/08/2015 e s.m.i.?</w:t>
            </w:r>
          </w:p>
        </w:tc>
      </w:tr>
      <w:tr>
        <w:trPr/>
        <w:tc>
          <w:tcPr>
            <w:tcW w:w="974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nel caso debba sviluppare un progetto complesso;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it-IT" w:eastAsia="en-US" w:bidi="ar-SA"/>
              </w:rPr>
              <w:t>B</w:t>
            </w:r>
            <w:r>
              <w:rPr>
                <w:rFonts w:cs="Times New Roman"/>
                <w:b/>
                <w:bCs/>
                <w:color w:val="FF0000"/>
                <w:kern w:val="0"/>
                <w:sz w:val="20"/>
                <w:szCs w:val="20"/>
                <w:lang w:val="it-IT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□ nel caso risulti impossibile applicare le soluzioni conformi previste dal DM 03/08/2015 e s.m.i.;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nel caso debba contenere i costi di realizzazione delle misure di protezione passiva;</w:t>
            </w:r>
            <w:bookmarkStart w:id="1" w:name="_Hlk121861152"/>
            <w:bookmarkEnd w:id="1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"/>
        <w:gridCol w:w="9125"/>
      </w:tblGrid>
      <w:tr>
        <w:trPr/>
        <w:tc>
          <w:tcPr>
            <w:tcW w:w="63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7</w:t>
            </w:r>
          </w:p>
        </w:tc>
        <w:tc>
          <w:tcPr>
            <w:tcW w:w="912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si intende per ASET?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kern w:val="0"/>
                <w:sz w:val="20"/>
                <w:szCs w:val="20"/>
                <w:lang w:val="it-IT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il tempo disponibile per lo svolgimento delle procedure d’esodo;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il tempo necessario all’esodo delle persone presenti in un’attività;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C □ </w:t>
            </w:r>
            <w:r>
              <w:rPr>
                <w:rFonts w:eastAsia="Noto Sans CJK SC" w:cs="Lohit Devanagari"/>
                <w:kern w:val="0"/>
                <w:lang w:val="it-IT" w:bidi="ar-SA"/>
              </w:rPr>
              <w:t>il tempo necessario all’estinzione di un incendio;</w:t>
            </w:r>
            <w:bookmarkStart w:id="2" w:name="_Hlk121861237"/>
            <w:bookmarkEnd w:id="2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5"/>
        <w:gridCol w:w="9079"/>
      </w:tblGrid>
      <w:tr>
        <w:trPr/>
        <w:tc>
          <w:tcPr>
            <w:tcW w:w="67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8</w:t>
            </w:r>
          </w:p>
        </w:tc>
        <w:tc>
          <w:tcPr>
            <w:tcW w:w="9079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Che rapporto c’è tra il RSET ed il ASET?</w:t>
            </w:r>
          </w:p>
        </w:tc>
      </w:tr>
      <w:tr>
        <w:trPr/>
        <w:tc>
          <w:tcPr>
            <w:tcW w:w="975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nessuno, sono due parametri fra loro non correlati;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RSET deve essere maggiore dello ASET;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it-IT" w:eastAsia="en-US" w:bidi="ar-SA"/>
              </w:rPr>
              <w:t>C</w:t>
            </w: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 xml:space="preserve"> □ l’ASET deve essere  maggiore del RSET ed in particolare il tmarg ≥ 100% ASET ;</w:t>
            </w:r>
            <w:bookmarkStart w:id="3" w:name="_Hlk121861274"/>
            <w:bookmarkEnd w:id="3"/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89"/>
        <w:gridCol w:w="9066"/>
      </w:tblGrid>
      <w:tr>
        <w:trPr/>
        <w:tc>
          <w:tcPr>
            <w:tcW w:w="689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9</w:t>
            </w:r>
          </w:p>
        </w:tc>
        <w:tc>
          <w:tcPr>
            <w:tcW w:w="9066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è l’incendio di progetto?</w:t>
            </w:r>
          </w:p>
        </w:tc>
      </w:tr>
      <w:tr>
        <w:trPr/>
        <w:tc>
          <w:tcPr>
            <w:tcW w:w="9755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kern w:val="0"/>
                <w:sz w:val="20"/>
                <w:szCs w:val="20"/>
                <w:lang w:val="it-IT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è l’incendio in base al quale devo sviluppare il mio progetto di prevenzione incendi;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è l’incendio che caratterizza l’evoluzione del fumo, del calore e delle sostanze tossiche, riferito ad un particolare scenario utilizzato per la verifica delle prestazioni rese dalla strategia antincendio nel caso di utilizzo dell’ingegneria della sicurezza antincendio;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è l’incendio che rende critiche le mie misure di  protezione attiva;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Grigliatabella"/>
        <w:tblW w:w="97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44"/>
        <w:gridCol w:w="9110"/>
      </w:tblGrid>
      <w:tr>
        <w:trPr/>
        <w:tc>
          <w:tcPr>
            <w:tcW w:w="644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10</w:t>
            </w:r>
          </w:p>
        </w:tc>
        <w:tc>
          <w:tcPr>
            <w:tcW w:w="9110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it-IT" w:bidi="ar-SA"/>
              </w:rPr>
              <w:t>Cosa si intende per ingegneria della sicurezza antincendio o FSE?</w:t>
            </w:r>
          </w:p>
        </w:tc>
      </w:tr>
      <w:tr>
        <w:trPr/>
        <w:tc>
          <w:tcPr>
            <w:tcW w:w="975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A □ l’attività di progettazione antincendio;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kern w:val="0"/>
                <w:sz w:val="20"/>
                <w:szCs w:val="20"/>
                <w:lang w:val="it-IT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B □ l’applicazione delle norme NFPA;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Times New Roman"/>
                <w:kern w:val="0"/>
                <w:sz w:val="20"/>
                <w:szCs w:val="20"/>
                <w:lang w:val="it-IT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it-IT" w:bidi="ar-SA"/>
              </w:rPr>
              <w:t>C □ l’applicazione di principi ingegneristici, di regole e di giudizi esperti basati sulla valutazione scientifica del fenomeno della combustione, degli effetti dell’incendio e del comportamento umano, finalizzati alla tutela della vita umana, alla protezione dei beni e dell’ambiente, alla quantificazione dei rischi di incendio e dei relativi effetti ed alla valutazione analitica delle misure antincendio ottimali, necessarie a limitare entro livelli prestabiliti le conseguenze dell’incendio;</w:t>
            </w:r>
          </w:p>
        </w:tc>
      </w:tr>
    </w:tbl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Nome e cognome partecipante: ____________________________________________________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304" w:footer="709" w:bottom="102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Liberation Sans Narrow">
    <w:charset w:val="01"/>
    <w:family w:val="swiss"/>
    <w:pitch w:val="default"/>
  </w:font>
  <w:font w:name="Aharon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>
        <w:b/>
        <w:sz w:val="18"/>
        <w:szCs w:val="24"/>
      </w:rPr>
      <w:t>Data</w:t>
    </w:r>
    <w:r>
      <w:rPr>
        <w:lang w:val="en-GB"/>
      </w:rPr>
      <w:tab/>
      <w:tab/>
      <w:t xml:space="preserve">pag.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di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>
        <w:b/>
        <w:sz w:val="18"/>
        <w:szCs w:val="24"/>
      </w:rPr>
      <w:t>Data</w:t>
    </w:r>
    <w:r>
      <w:rPr>
        <w:lang w:val="en-GB"/>
      </w:rPr>
      <w:tab/>
      <w:tab/>
      <w:t xml:space="preserve">pag.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 xml:space="preserve"> di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38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a0" w:noHBand="0" w:noVBand="0" w:firstColumn="1" w:lastRow="0" w:lastColumn="0" w:firstRow="1"/>
    </w:tblPr>
    <w:tblGrid>
      <w:gridCol w:w="9638"/>
    </w:tblGrid>
    <w:tr>
      <w:trPr/>
      <w:tc>
        <w:tcPr>
          <w:tcW w:w="9638" w:type="dxa"/>
          <w:tcBorders>
            <w:bottom w:val="single" w:sz="4" w:space="0" w:color="808080"/>
          </w:tcBorders>
        </w:tcPr>
        <w:p>
          <w:pPr>
            <w:pStyle w:val="Footer"/>
            <w:ind w:firstLine="8647"/>
            <w:rPr>
              <w:rFonts w:eastAsia="Times New Roman"/>
              <w:sz w:val="22"/>
              <w:szCs w:val="22"/>
            </w:rPr>
          </w:pPr>
          <w:r>
            <w:rPr>
              <w:rFonts w:eastAsia="Times New Roman"/>
              <w:sz w:val="22"/>
              <w:szCs w:val="22"/>
            </w:rPr>
          </w:r>
        </w:p>
      </w:tc>
    </w:tr>
  </w:tbl>
  <w:p>
    <w:pPr>
      <w:pStyle w:val="Header"/>
      <w:rPr>
        <w:sz w:val="10"/>
        <w:szCs w:val="10"/>
      </w:rPr>
    </w:pPr>
    <w:r>
      <w:rPr>
        <w:sz w:val="10"/>
        <w:szCs w:val="1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38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0a0" w:noHBand="0" w:noVBand="0" w:firstColumn="1" w:lastRow="0" w:lastColumn="0" w:firstRow="1"/>
    </w:tblPr>
    <w:tblGrid>
      <w:gridCol w:w="9638"/>
    </w:tblGrid>
    <w:tr>
      <w:trPr/>
      <w:tc>
        <w:tcPr>
          <w:tcW w:w="9638" w:type="dxa"/>
          <w:tcBorders>
            <w:bottom w:val="single" w:sz="4" w:space="0" w:color="808080"/>
          </w:tcBorders>
        </w:tcPr>
        <w:p>
          <w:pPr>
            <w:pStyle w:val="Footer"/>
            <w:ind w:firstLine="8647"/>
            <w:rPr>
              <w:rFonts w:eastAsia="Times New Roman"/>
              <w:sz w:val="22"/>
              <w:szCs w:val="22"/>
            </w:rPr>
          </w:pPr>
          <w:r>
            <w:rPr>
              <w:rFonts w:eastAsia="Times New Roman"/>
              <w:sz w:val="22"/>
              <w:szCs w:val="22"/>
            </w:rPr>
          </w:r>
        </w:p>
      </w:tc>
    </w:tr>
  </w:tbl>
  <w:p>
    <w:pPr>
      <w:pStyle w:val="Header"/>
      <w:rPr>
        <w:sz w:val="10"/>
        <w:szCs w:val="10"/>
      </w:rPr>
    </w:pPr>
    <w:r>
      <w:rPr>
        <w:sz w:val="10"/>
        <w:szCs w:val="10"/>
      </w:rPr>
    </w:r>
  </w:p>
</w:hdr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45234"/>
    <w:pPr>
      <w:widowControl/>
      <w:bidi w:val="0"/>
      <w:spacing w:lineRule="auto" w:line="276" w:before="0" w:after="200"/>
      <w:jc w:val="left"/>
    </w:pPr>
    <w:rPr>
      <w:rFonts w:eastAsia="Times New Roman" w:ascii="Calibri" w:hAnsi="Calibri" w:cs="Times New Roman"/>
      <w:color w:val="auto"/>
      <w:kern w:val="0"/>
      <w:sz w:val="22"/>
      <w:szCs w:val="22"/>
      <w:lang w:eastAsia="en-US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link w:val="BalloonText"/>
    <w:semiHidden/>
    <w:qFormat/>
    <w:locked/>
    <w:rsid w:val="007a0d4e"/>
    <w:rPr>
      <w:rFonts w:ascii="Tahoma" w:hAnsi="Tahoma" w:cs="Tahoma"/>
      <w:sz w:val="16"/>
      <w:szCs w:val="16"/>
    </w:rPr>
  </w:style>
  <w:style w:type="character" w:styleId="IntestazioneCarattere" w:customStyle="1">
    <w:name w:val="Intestazione Carattere"/>
    <w:qFormat/>
    <w:locked/>
    <w:rsid w:val="00fe3205"/>
    <w:rPr>
      <w:rFonts w:cs="Times New Roman"/>
    </w:rPr>
  </w:style>
  <w:style w:type="character" w:styleId="PidipaginaCarattere" w:customStyle="1">
    <w:name w:val="Piè di pagina Carattere"/>
    <w:qFormat/>
    <w:locked/>
    <w:rsid w:val="00fe3205"/>
    <w:rPr>
      <w:rFonts w:cs="Times New Roman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 Narrow" w:hAnsi="Liberation Sans Narrow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Liberation Sans Narrow" w:hAnsi="Liberation Sans Narrow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 Narrow" w:hAnsi="Liberation Sans Narrow" w:cs="Noto Sans Devanagari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ascii="Liberation Sans Narrow" w:hAnsi="Liberation Sans Narrow" w:cs="Noto Sans Devanagari"/>
    </w:rPr>
  </w:style>
  <w:style w:type="paragraph" w:styleId="BalloonText">
    <w:name w:val="Balloon Text"/>
    <w:basedOn w:val="Normal"/>
    <w:link w:val="TestofumettoCarattere"/>
    <w:semiHidden/>
    <w:qFormat/>
    <w:rsid w:val="007a0d4e"/>
    <w:pPr>
      <w:spacing w:lineRule="auto" w:line="240" w:before="0" w:after="0"/>
    </w:pPr>
    <w:rPr>
      <w:rFonts w:ascii="Tahoma" w:hAnsi="Tahoma" w:eastAsia="Calibri"/>
      <w:sz w:val="16"/>
      <w:szCs w:val="16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rsid w:val="00fe3205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Footer">
    <w:name w:val="Footer"/>
    <w:basedOn w:val="Normal"/>
    <w:link w:val="PidipaginaCarattere"/>
    <w:rsid w:val="00fe3205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Paragrafoelenco1" w:customStyle="1">
    <w:name w:val="Paragrafo elenco1"/>
    <w:basedOn w:val="Normal"/>
    <w:qFormat/>
    <w:rsid w:val="005d0d06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2c4767"/>
    <w:pPr>
      <w:widowControl/>
      <w:bidi w:val="0"/>
      <w:spacing w:before="0" w:after="0"/>
      <w:jc w:val="left"/>
    </w:pPr>
    <w:rPr>
      <w:rFonts w:ascii="Aharoni" w:hAnsi="Aharoni" w:eastAsia="Times New Roman" w:cs="Aharoni"/>
      <w:color w:val="000000"/>
      <w:kern w:val="0"/>
      <w:sz w:val="24"/>
      <w:szCs w:val="24"/>
      <w:lang w:eastAsia="en-US" w:bidi="he-IL" w:val="it-IT"/>
    </w:rPr>
  </w:style>
  <w:style w:type="paragraph" w:styleId="ListParagraph">
    <w:name w:val="List Paragraph"/>
    <w:basedOn w:val="Normal"/>
    <w:uiPriority w:val="34"/>
    <w:qFormat/>
    <w:rsid w:val="00e849ef"/>
    <w:pPr>
      <w:ind w:left="708"/>
    </w:pPr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d76197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LibreOffice/24.2.7.2$Linux_X86_64 LibreOffice_project/420$Build-2</Application>
  <AppVersion>15.0000</AppVersion>
  <Pages>2</Pages>
  <Words>670</Words>
  <Characters>3576</Characters>
  <CharactersWithSpaces>4198</CharactersWithSpaces>
  <Paragraphs>62</Paragraphs>
  <Company>Studio Tecnico Ing. Montanari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2024-05-23T10:09:00Z</dcterms:created>
  <dc:creator>Ing. Marco Montanari</dc:creator>
  <dc:description/>
  <dc:language>it-IT</dc:language>
  <cp:lastModifiedBy>Alessandro Leonardi</cp:lastModifiedBy>
  <cp:lastPrinted>2017-10-03T10:13:00Z</cp:lastPrinted>
  <dcterms:modified xsi:type="dcterms:W3CDTF">2026-06-27T12:43:58Z</dcterms:modified>
  <cp:revision>4</cp:revision>
  <dc:subject/>
  <dc:title>CORSO DI AGGIORNAMENTO IN MATERIA DI PREVENZIONE INCENDI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